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C3" w:rsidRPr="00137307" w:rsidRDefault="000E35C3" w:rsidP="000E35C3">
      <w:pPr>
        <w:pStyle w:val="Textoindependiente2"/>
        <w:spacing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E35C3" w:rsidRDefault="000E35C3" w:rsidP="000E35C3">
      <w:pPr>
        <w:spacing w:after="0" w:line="240" w:lineRule="auto"/>
        <w:ind w:left="11" w:right="0" w:hanging="11"/>
        <w:jc w:val="center"/>
        <w:rPr>
          <w:b/>
          <w:szCs w:val="24"/>
        </w:rPr>
      </w:pPr>
    </w:p>
    <w:p w:rsidR="00C16047" w:rsidRDefault="00C16047" w:rsidP="00AF7DE6">
      <w:pPr>
        <w:spacing w:after="0" w:line="360" w:lineRule="auto"/>
        <w:ind w:left="11" w:right="0" w:hanging="11"/>
        <w:jc w:val="center"/>
        <w:rPr>
          <w:b/>
          <w:szCs w:val="24"/>
        </w:rPr>
      </w:pPr>
      <w:r w:rsidRPr="00040C28">
        <w:rPr>
          <w:b/>
          <w:szCs w:val="24"/>
        </w:rPr>
        <w:t>D E C R E T O</w:t>
      </w:r>
    </w:p>
    <w:p w:rsidR="00124C13" w:rsidRDefault="00124C13" w:rsidP="000E35C3">
      <w:pPr>
        <w:spacing w:after="0" w:line="240" w:lineRule="auto"/>
        <w:ind w:left="11" w:right="0" w:hanging="11"/>
        <w:jc w:val="center"/>
        <w:rPr>
          <w:b/>
          <w:szCs w:val="24"/>
        </w:rPr>
      </w:pPr>
    </w:p>
    <w:p w:rsidR="000176DF" w:rsidRPr="000176DF" w:rsidRDefault="000176DF" w:rsidP="000176DF">
      <w:pPr>
        <w:spacing w:after="0" w:line="360" w:lineRule="auto"/>
        <w:ind w:left="0" w:right="0" w:firstLine="0"/>
        <w:rPr>
          <w:rFonts w:eastAsia="Times New Roman"/>
          <w:b/>
          <w:color w:val="auto"/>
          <w:szCs w:val="24"/>
          <w:lang w:eastAsia="es-ES"/>
        </w:rPr>
      </w:pPr>
      <w:r w:rsidRPr="000176DF">
        <w:rPr>
          <w:rFonts w:eastAsia="Times New Roman"/>
          <w:b/>
          <w:color w:val="auto"/>
          <w:szCs w:val="24"/>
          <w:lang w:eastAsia="es-ES"/>
        </w:rPr>
        <w:t>Para modificar el Código Fiscal y la Ley de Tránsito y Vialidad ambas del Estado de Yucatán, en materia de enajenación de vehículos abandonados</w:t>
      </w:r>
    </w:p>
    <w:p w:rsidR="000176DF" w:rsidRPr="000176DF" w:rsidRDefault="000176DF" w:rsidP="000176DF">
      <w:pPr>
        <w:widowControl w:val="0"/>
        <w:autoSpaceDE w:val="0"/>
        <w:autoSpaceDN w:val="0"/>
        <w:adjustRightInd w:val="0"/>
        <w:spacing w:after="0" w:line="360" w:lineRule="auto"/>
        <w:ind w:left="708" w:right="0" w:firstLine="0"/>
        <w:jc w:val="left"/>
        <w:rPr>
          <w:rFonts w:eastAsia="Times New Roman" w:cs="Times New Roman"/>
          <w:b/>
          <w:bCs/>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r w:rsidRPr="000176DF">
        <w:rPr>
          <w:rFonts w:eastAsia="Times New Roman"/>
          <w:b/>
          <w:color w:val="auto"/>
          <w:szCs w:val="24"/>
          <w:lang w:val="es-ES" w:eastAsia="es-ES"/>
        </w:rPr>
        <w:t xml:space="preserve">Artículo primero. </w:t>
      </w:r>
      <w:r w:rsidRPr="000176DF">
        <w:rPr>
          <w:rFonts w:eastAsia="Times New Roman"/>
          <w:color w:val="auto"/>
          <w:szCs w:val="24"/>
          <w:lang w:val="es-ES" w:eastAsia="es-ES"/>
        </w:rPr>
        <w:t>Se adiciona el CAPÍTULO IV denominado “</w:t>
      </w:r>
      <w:r w:rsidRPr="000176DF">
        <w:rPr>
          <w:rFonts w:eastAsia="Times New Roman"/>
          <w:color w:val="auto"/>
          <w:szCs w:val="24"/>
          <w:lang w:eastAsia="es-ES"/>
        </w:rPr>
        <w:t xml:space="preserve">Del Procedimiento de </w:t>
      </w:r>
      <w:proofErr w:type="gramStart"/>
      <w:r w:rsidRPr="000176DF">
        <w:rPr>
          <w:rFonts w:eastAsia="Times New Roman"/>
          <w:color w:val="auto"/>
          <w:szCs w:val="24"/>
          <w:lang w:eastAsia="es-ES"/>
        </w:rPr>
        <w:t>declaratoria</w:t>
      </w:r>
      <w:proofErr w:type="gramEnd"/>
      <w:r w:rsidRPr="000176DF">
        <w:rPr>
          <w:rFonts w:eastAsia="Times New Roman"/>
          <w:color w:val="auto"/>
          <w:szCs w:val="24"/>
          <w:lang w:eastAsia="es-ES"/>
        </w:rPr>
        <w:t xml:space="preserve"> de abandono ante autoridades administrativas”</w:t>
      </w:r>
      <w:r w:rsidRPr="000176DF">
        <w:rPr>
          <w:rFonts w:eastAsia="Times New Roman"/>
          <w:color w:val="auto"/>
          <w:szCs w:val="24"/>
          <w:lang w:val="es-ES" w:eastAsia="es-ES"/>
        </w:rPr>
        <w:t xml:space="preserve"> al título quinto, que contiene los artículos 251, 252, 253, 254, 255, 256 y 257 todos al Código Fiscal del Estado de Yucatán, para quedar como sigue:</w:t>
      </w: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0"/>
        <w:jc w:val="center"/>
        <w:rPr>
          <w:rFonts w:eastAsia="Times New Roman"/>
          <w:b/>
          <w:color w:val="auto"/>
          <w:szCs w:val="24"/>
          <w:lang w:eastAsia="es-ES"/>
        </w:rPr>
      </w:pPr>
      <w:r w:rsidRPr="000176DF">
        <w:rPr>
          <w:rFonts w:eastAsia="Times New Roman"/>
          <w:b/>
          <w:bCs/>
          <w:color w:val="auto"/>
          <w:szCs w:val="24"/>
          <w:lang w:eastAsia="es-ES"/>
        </w:rPr>
        <w:t>CAPÍTULO IV</w:t>
      </w:r>
      <w:r w:rsidRPr="000176DF">
        <w:rPr>
          <w:rFonts w:eastAsia="Times New Roman"/>
          <w:b/>
          <w:bCs/>
          <w:color w:val="auto"/>
          <w:szCs w:val="24"/>
          <w:lang w:eastAsia="es-ES"/>
        </w:rPr>
        <w:br/>
      </w:r>
      <w:r w:rsidRPr="000176DF">
        <w:rPr>
          <w:rFonts w:eastAsia="Times New Roman"/>
          <w:b/>
          <w:color w:val="auto"/>
          <w:szCs w:val="24"/>
          <w:lang w:eastAsia="es-ES"/>
        </w:rPr>
        <w:t>Del Procedimiento de declaratoria de abandono ante autoridades administrativas</w:t>
      </w:r>
    </w:p>
    <w:p w:rsidR="000176DF" w:rsidRPr="000176DF" w:rsidRDefault="000176DF" w:rsidP="000176DF">
      <w:pPr>
        <w:widowControl w:val="0"/>
        <w:autoSpaceDE w:val="0"/>
        <w:autoSpaceDN w:val="0"/>
        <w:adjustRightInd w:val="0"/>
        <w:spacing w:after="0" w:line="360" w:lineRule="auto"/>
        <w:ind w:left="0" w:right="0" w:firstLine="0"/>
        <w:jc w:val="center"/>
        <w:rPr>
          <w:rFonts w:eastAsia="Times New Roman"/>
          <w:b/>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eastAsia="es-ES"/>
        </w:rPr>
      </w:pPr>
      <w:r w:rsidRPr="000176DF">
        <w:rPr>
          <w:rFonts w:eastAsia="Times New Roman"/>
          <w:b/>
          <w:bCs/>
          <w:color w:val="auto"/>
          <w:szCs w:val="24"/>
          <w:lang w:eastAsia="es-ES"/>
        </w:rPr>
        <w:t xml:space="preserve">Artículo 251. </w:t>
      </w:r>
      <w:r w:rsidRPr="000176DF">
        <w:rPr>
          <w:rFonts w:eastAsia="Times New Roman"/>
          <w:color w:val="auto"/>
          <w:szCs w:val="24"/>
          <w:lang w:eastAsia="es-ES"/>
        </w:rPr>
        <w:t>Los bienes abandonados en beneficio del estado de Yucatán, ante autoridades distintas a las fiscales conforme a las leyes administrativas aplicables, quedarán en custodia de las autoridades encargadas de su almacenaje, junto con la documentación que justifique los actos, la cual deberá ser proporcionada a estas por las autoridades que originaron el almacenaje, para su guarda, aplicación, adjudicación, remate o venta, donación o destrucción, según proceda.</w:t>
      </w: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 xml:space="preserve">Los bienes a que se refiere este artículo deberán inventariarse y mantenerse actualizado. Dicho inventario deberá cotejarse con el control administrativo a cargo </w:t>
      </w:r>
      <w:r w:rsidRPr="000176DF">
        <w:rPr>
          <w:rFonts w:eastAsia="Times New Roman"/>
          <w:color w:val="auto"/>
          <w:szCs w:val="24"/>
          <w:lang w:eastAsia="es-ES"/>
        </w:rPr>
        <w:lastRenderedPageBreak/>
        <w:t>del propio Gobierno estatal y, en caso de diferencias entre el control físico y administrativo, deberá darse vista al órgano de control interno correspondiente, a efecto de deslindar responsabilidades de las personas que estén a cargo de esos controles.</w:t>
      </w:r>
    </w:p>
    <w:p w:rsid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Los bienes y valores que se encuentren a disposición de la autoridad investigadora del Ministerio Público o de las autoridades judiciales, conforme al Código Penal del Estado de Yucatán, y que hubieran causado abandono, se venderán e invertirán de conformidad con las disposiciones legales y administrativas aplicables. El procedimiento administrativo de venta estará a cargo de la Fiscalía General del Estado o del Consejo de la Judicatura. Los bienes perecederos de consumo y durables y aquellos que carezcan de valor o este sea menor a lo que pudiera costar su enajenación, podrán ser donados a instituciones de asistencia pública del estado de Yucatán, en los términos y condiciones que se establezcan, mediante acuerdo que emita la Fiscalía General del Estado o el Consejo de la Judicatura.</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Artículo 252.</w:t>
      </w:r>
      <w:r w:rsidRPr="000176DF">
        <w:rPr>
          <w:rFonts w:eastAsia="Times New Roman"/>
          <w:color w:val="auto"/>
          <w:szCs w:val="24"/>
          <w:lang w:eastAsia="es-ES"/>
        </w:rPr>
        <w:t xml:space="preserve"> Para los créditos fiscales inherentes a los bienes abandonados, operará de pleno derecho su cancelación sin necesidad de autorización alguna, para lo cual, la autoridad encargada del almacenaje de bienes deberá remitir la documentación respectiva a la Agencia de Administración Fiscal de Yucatán a fin de que se reconozca dicha cancelación en los registros que correspondan.</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No se generará el cobro de los derechos de almacenaje previstos en el artículo 55 de la Ley General de Hacienda del Estado de Yucatán, cuando se trate de bienes del Gobierno del estado a que se refiere este capítulo.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lastRenderedPageBreak/>
        <w:t>Artículo 253.</w:t>
      </w:r>
      <w:r w:rsidRPr="000176DF">
        <w:rPr>
          <w:rFonts w:eastAsia="Times New Roman"/>
          <w:color w:val="auto"/>
          <w:szCs w:val="24"/>
          <w:lang w:eastAsia="es-ES"/>
        </w:rPr>
        <w:t xml:space="preserve"> Una vez que la autoridad encargada del almacenaje verifique la documentación comprobatoria que le entregue la autoridad que ordenó o solicitó el almacenaje, a fin de constatar que esta notificó al interesado que el bien quedó a su disposición a partir de que surtió efectos la notificación correspondiente, la autoridad encargada del almacenaje hará del conocimiento de la Secretaría de Administración y Finanzas esta situación, a efecto de que esta, o la unidad administrativa en quien delegue esta función, determine el destino de los bienes abandonados, que podrán ser:</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I.</w:t>
      </w:r>
      <w:r w:rsidRPr="000176DF">
        <w:rPr>
          <w:rFonts w:eastAsia="Times New Roman"/>
          <w:color w:val="auto"/>
          <w:szCs w:val="24"/>
          <w:lang w:eastAsia="es-ES"/>
        </w:rPr>
        <w:t xml:space="preserve"> Rematados en subasta pública, conforme a lo previsto en los artículos 459, 460, 461, 463, 464, 465, 466, 476, 477 y 478 el Código de Procedimientos Civiles del Estado de Yucatán, en donde la Secretaría de Administración y Finanzas ejercerá las funciones que el referido código otorga al juez.</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eastAsia="es-ES"/>
        </w:rPr>
        <w:t>El avalúo de los bienes será practicado por la Secretaría de Administración y Finanzas o por peritos, instituciones de crédito, agentes especializados o corredores públicos y deberán consignar, al menos, el valor comercial y el de realización inmediata.</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Para la realización del remate de bienes se anunciará su venta mediante la publicación de un aviso en el Diario Oficial del Gobierno del Estado de Yucatán y en, al menos, un diario de circulación estatal, así como a través de medios electrónicos, por lo menos una vez al año.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b/>
          <w:color w:val="auto"/>
          <w:szCs w:val="24"/>
          <w:u w:val="single"/>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 xml:space="preserve">En la formulación de la postura, el oferente deberá entregar, en el acto del remate, a la Secretaría de Administración y Finanzas el monto para cubrir la garantía que se fije en el aviso a que se refiere el párrafo anterior, la cual será devuelta al oferente una vez fincado el remate si este no resulta ganador o, en caso contrario, </w:t>
      </w:r>
      <w:r w:rsidRPr="000176DF">
        <w:rPr>
          <w:rFonts w:eastAsia="Times New Roman"/>
          <w:color w:val="auto"/>
          <w:szCs w:val="24"/>
          <w:lang w:val="es-ES" w:eastAsia="es-ES"/>
        </w:rPr>
        <w:lastRenderedPageBreak/>
        <w:t>aplicada al pago del bien adjudicado.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La Secretaría de Administración y Finanzas decidirá de plano conforme a las disposiciones aplicables, bajo su responsabilidad, sobre cualquier asunto que se suscite respecto al remate.</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b/>
          <w:color w:val="auto"/>
          <w:szCs w:val="24"/>
          <w:lang w:val="es-ES" w:eastAsia="es-ES"/>
        </w:rPr>
        <w:t>II.</w:t>
      </w:r>
      <w:r w:rsidRPr="000176DF">
        <w:rPr>
          <w:rFonts w:eastAsia="Times New Roman"/>
          <w:color w:val="auto"/>
          <w:szCs w:val="24"/>
          <w:lang w:val="es-ES" w:eastAsia="es-ES"/>
        </w:rPr>
        <w:t xml:space="preserve"> Enajenados fuera de remate, previo dictamen de la Secretaría de Administración y Finanzas, en el que haga constar por escrito que se trata de bienes de fácil descomposición o deterioro o de materiales inflamables o no fungibles; o que su conservación resulte incosteable para el estado; o que su valor sea menor de ciento cincuenta mil unidades de inversión; o que en primer remate público no se hayan vendido; o que exista una oferta para su compra presentada por alguna entidad paraestatal o por el gobierno de algún ayuntamiento.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Cuando no se trate de bienes chatarra, el valor base para la enajenación, podrá ser, el que se encuentra en la Lista de Valores Mínimos para Desechos de Bienes Muebles que Generen las Dependencias y Entidades de la Administración Pública Federal vigente, publicada en el Diario Oficial de la Federación, en casos de bienes no enlistados podrá realizar la enajenación por mejor precio ofertado.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El producto obtenido por la realización de los procedimientos previstos en los incisos I y II ingresará a la Agencia de Administración Fiscal de Yucatán.</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b/>
          <w:color w:val="auto"/>
          <w:szCs w:val="24"/>
          <w:lang w:val="es-ES" w:eastAsia="es-ES"/>
        </w:rPr>
        <w:t>III.</w:t>
      </w:r>
      <w:r w:rsidRPr="000176DF">
        <w:rPr>
          <w:rFonts w:eastAsia="Times New Roman"/>
          <w:color w:val="auto"/>
          <w:szCs w:val="24"/>
          <w:lang w:val="es-ES" w:eastAsia="es-ES"/>
        </w:rPr>
        <w:t xml:space="preserve"> Adjudicados a favor del estado de Yucatán, para que sean destinados para su uso en un área específica del propio Gobierno del estado, conforme a las reglas de carácter general que dicte la Secretaría de Administración y Finanzas.</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b/>
          <w:color w:val="auto"/>
          <w:szCs w:val="24"/>
          <w:lang w:val="es-ES" w:eastAsia="es-ES"/>
        </w:rPr>
        <w:t>IV.</w:t>
      </w:r>
      <w:r w:rsidRPr="000176DF">
        <w:rPr>
          <w:rFonts w:eastAsia="Times New Roman"/>
          <w:color w:val="auto"/>
          <w:szCs w:val="24"/>
          <w:lang w:val="es-ES" w:eastAsia="es-ES"/>
        </w:rPr>
        <w:t xml:space="preserve"> Destruidos cuando la Secretaría de Administración y Finanzas, en acuerdo con la autoridad encargada del almacenaje de los bienes, determine que la utilidad de los bienes antes referidos sea nula y no exista la posibilidad de obtener provecho alguno por su venta o de sus residuos. La Secretaría de Administración y Finanzas podrá ordenar dicha destrucción, previa resolución debidamente justificada y el levantamiento de un acta administrativa, en la que participe, en su caso, la autoridad que ordenó o solicitó el almacenaje de los bienes y la que fungió como almacenadora, en caso de ser diferentes.</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En toda destrucción se deberán observar las disposiciones de seguridad, salud, protección al medio ambiente y demás que resulten aplicables.</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Artículo 254.</w:t>
      </w:r>
      <w:r w:rsidRPr="000176DF">
        <w:rPr>
          <w:rFonts w:eastAsia="Times New Roman"/>
          <w:color w:val="auto"/>
          <w:szCs w:val="24"/>
          <w:lang w:eastAsia="es-ES"/>
        </w:rPr>
        <w:t xml:space="preserve"> En los actos de remate, venta, adjudicación al estado de Yucatán, donación o destrucción, intervendrá un representante de la Secretaría de la Contraloría General.</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 xml:space="preserve">Artículo 255. </w:t>
      </w:r>
      <w:r w:rsidRPr="000176DF">
        <w:rPr>
          <w:rFonts w:eastAsia="Times New Roman"/>
          <w:color w:val="auto"/>
          <w:szCs w:val="24"/>
          <w:lang w:eastAsia="es-ES"/>
        </w:rPr>
        <w:t>Para los efectos de este código, se entenderá por bienes chatarra, aquellos que se encuentren deteriorados, inservibles, destruidos, desbaratados, podridos o inutilizados permanentemente.</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Artículo 256.</w:t>
      </w:r>
      <w:r w:rsidRPr="000176DF">
        <w:rPr>
          <w:rFonts w:eastAsia="Times New Roman"/>
          <w:color w:val="auto"/>
          <w:szCs w:val="24"/>
          <w:lang w:eastAsia="es-ES"/>
        </w:rPr>
        <w:t xml:space="preserve"> Cuando se determine la destrucción de los bienes, la autoridad encargada de almacenarlos deberá realizar un inventario de los bienes que se encuentren en sus depósitos, bodegas o locales, el cual constará en un acta debidamente circunstanciada en presencia de fedatario público, a efecto de hacer constar el estado en que se encuentran al momento en que se practique el inventario y el deterioro que guardan.</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El producto de la enajenación de los vehículos remitidos a los depósitos vehiculares por los municipios, se destinará al municipio que los haya remitido, como recursos de aplicación automática, de conformidad con la normativa aplicable, para destinarlos a obras y trabajos para mejoramiento urbano del municipio, y programas ambientales.</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 xml:space="preserve">Artículo 257. </w:t>
      </w:r>
      <w:r w:rsidRPr="000176DF">
        <w:rPr>
          <w:rFonts w:eastAsia="Times New Roman"/>
          <w:color w:val="auto"/>
          <w:szCs w:val="24"/>
          <w:lang w:eastAsia="es-ES"/>
        </w:rPr>
        <w:t>Cuando de la documentación relativa a los bienes abandonados se desprenda la existencia de impedimentos legales para disponer de ellos, la autoridad encargada de su almacenaje lo informará a la Secretaría de Administración y Finanzas para que se abstenga de continuar con los procedimientos establecidos en este capítulo, en tanto desaparece el impedimento.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r w:rsidRPr="000176DF">
        <w:rPr>
          <w:rFonts w:eastAsia="Times New Roman"/>
          <w:b/>
          <w:color w:val="auto"/>
          <w:szCs w:val="24"/>
          <w:lang w:val="es-ES" w:eastAsia="es-ES"/>
        </w:rPr>
        <w:t xml:space="preserve">Artículo segundo. </w:t>
      </w:r>
      <w:r w:rsidRPr="000176DF">
        <w:rPr>
          <w:rFonts w:eastAsia="Times New Roman"/>
          <w:color w:val="auto"/>
          <w:szCs w:val="24"/>
          <w:lang w:val="es-ES" w:eastAsia="es-ES"/>
        </w:rPr>
        <w:t>Se adicionan los artículos 80 bis y 82 bis ambos a la Ley de Tránsito y Vialidad del Estado de Yucatán, para quedar como sigue:</w:t>
      </w: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Artículo 80 bis.-</w:t>
      </w:r>
      <w:r w:rsidRPr="000176DF">
        <w:rPr>
          <w:rFonts w:eastAsia="Times New Roman"/>
          <w:color w:val="auto"/>
          <w:szCs w:val="24"/>
          <w:lang w:eastAsia="es-ES"/>
        </w:rPr>
        <w:t xml:space="preserve"> Cuando se trate de operativos llevados a cabo por la Secretaría de Seguridad Pública, con el objeto de retirar de la vía pública vehículos chatarra o abandonados, deberá identificarlos, para verificar si cuentan o están relacionados con un reporte de robo o algún otro delito, para, en caso afirmativo, ponerlos a disposición del ministerio público, quien actuará en el marco de sus atribuciones.</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En caso de que no se encuentren datos que relacionen los vehículos con hechos delictivos, la Secretaría de Seguridad Pública procederá conforme al artículo 82 bis.</w:t>
      </w:r>
    </w:p>
    <w:p w:rsid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b/>
          <w:color w:val="auto"/>
          <w:szCs w:val="24"/>
          <w:lang w:eastAsia="es-ES"/>
        </w:rPr>
        <w:t>Artículo 82 bis.-</w:t>
      </w:r>
      <w:r w:rsidRPr="000176DF">
        <w:rPr>
          <w:rFonts w:eastAsia="Times New Roman"/>
          <w:color w:val="auto"/>
          <w:szCs w:val="24"/>
          <w:lang w:eastAsia="es-ES"/>
        </w:rPr>
        <w:t xml:space="preserve"> Los propietarios de los vehículos que se encuentren retenidos en los depósitos vehiculares a cargo del estado solo podrán retirarlos acreditando el interés jurídico, presentando la documentación que justifique el retiro y cubriendo el monto de los derechos a su cargo, conforme a la Ley General de Hacienda del Estado de Yucatán.</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r w:rsidRPr="000176DF">
        <w:rPr>
          <w:rFonts w:eastAsia="Times New Roman"/>
          <w:color w:val="auto"/>
          <w:szCs w:val="24"/>
          <w:lang w:eastAsia="es-ES"/>
        </w:rPr>
        <w:t>Si han transcurrido sesenta días naturales de que el vehículo quedó a disposición del propietario y este no lo retira, en cumplimiento de esta ley y su reglamento, causará abandono a favor de estado y se seguirá el procedimiento establecido para bienes abandonados, previsto en el Código Fiscal del Estado de Yucatán. Se considera que el vehículo quedó a disposición del propietario a partir del día que surtió efectos la notificación que realice la autoridad administrativa competente.</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Para efectos de la notificación a que se refiere el párrafo anterior, la Secretaría de Seguridad Pública deberá publicar en su sitio web y en el Diario Oficial del Gobierno del Estado de Yucatán los datos identificativos del vehículo en la fecha de ingreso, señalando el nombre del propietario del bien, en caso de que se conozca, la fecha y el lugar del que fue retirado, la fecha en que ingresó en el depósito vehicular, así como el nombre y ubicación del depósito en el que se encuentra, momento a partir del cual se entenderá que queda a disposición del propietario.</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r w:rsidRPr="000176DF">
        <w:rPr>
          <w:rFonts w:eastAsia="Times New Roman"/>
          <w:color w:val="auto"/>
          <w:szCs w:val="24"/>
          <w:lang w:val="es-ES" w:eastAsia="es-ES"/>
        </w:rPr>
        <w:t>El plazo de abandono a que se refiere este artículo se interrumpirá por la interposición de algún medio de defensa en contra del acto o procedimiento que dio origen al almacenaje, hasta que se resuelva de manera definitiva.</w:t>
      </w: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708"/>
        <w:jc w:val="left"/>
        <w:rPr>
          <w:rFonts w:eastAsia="Times New Roman"/>
          <w:b/>
          <w:color w:val="auto"/>
          <w:szCs w:val="24"/>
          <w:lang w:val="en-US" w:eastAsia="es-ES"/>
        </w:rPr>
      </w:pPr>
      <w:r w:rsidRPr="00EE3A1B">
        <w:rPr>
          <w:rFonts w:eastAsia="Times New Roman"/>
          <w:b/>
          <w:color w:val="auto"/>
          <w:szCs w:val="24"/>
          <w:lang w:eastAsia="es-ES"/>
        </w:rPr>
        <w:t xml:space="preserve">                                         </w:t>
      </w:r>
      <w:r w:rsidRPr="000176DF">
        <w:rPr>
          <w:rFonts w:eastAsia="Times New Roman"/>
          <w:b/>
          <w:color w:val="auto"/>
          <w:szCs w:val="24"/>
          <w:lang w:val="en-US" w:eastAsia="es-ES"/>
        </w:rPr>
        <w:t xml:space="preserve">T r a n s </w:t>
      </w:r>
      <w:proofErr w:type="spellStart"/>
      <w:r w:rsidRPr="000176DF">
        <w:rPr>
          <w:rFonts w:eastAsia="Times New Roman"/>
          <w:b/>
          <w:color w:val="auto"/>
          <w:szCs w:val="24"/>
          <w:lang w:val="en-US" w:eastAsia="es-ES"/>
        </w:rPr>
        <w:t>i</w:t>
      </w:r>
      <w:proofErr w:type="spellEnd"/>
      <w:r w:rsidRPr="000176DF">
        <w:rPr>
          <w:rFonts w:eastAsia="Times New Roman"/>
          <w:b/>
          <w:color w:val="auto"/>
          <w:szCs w:val="24"/>
          <w:lang w:val="en-US" w:eastAsia="es-ES"/>
        </w:rPr>
        <w:t xml:space="preserve"> t o r </w:t>
      </w:r>
      <w:proofErr w:type="spellStart"/>
      <w:r w:rsidRPr="000176DF">
        <w:rPr>
          <w:rFonts w:eastAsia="Times New Roman"/>
          <w:b/>
          <w:color w:val="auto"/>
          <w:szCs w:val="24"/>
          <w:lang w:val="en-US" w:eastAsia="es-ES"/>
        </w:rPr>
        <w:t>i</w:t>
      </w:r>
      <w:proofErr w:type="spellEnd"/>
      <w:r w:rsidRPr="000176DF">
        <w:rPr>
          <w:rFonts w:eastAsia="Times New Roman"/>
          <w:b/>
          <w:color w:val="auto"/>
          <w:szCs w:val="24"/>
          <w:lang w:val="en-US" w:eastAsia="es-ES"/>
        </w:rPr>
        <w:t xml:space="preserve"> o s</w:t>
      </w:r>
    </w:p>
    <w:p w:rsidR="000176DF" w:rsidRPr="000176DF" w:rsidRDefault="000176DF" w:rsidP="000176DF">
      <w:pPr>
        <w:widowControl w:val="0"/>
        <w:autoSpaceDE w:val="0"/>
        <w:autoSpaceDN w:val="0"/>
        <w:adjustRightInd w:val="0"/>
        <w:spacing w:after="0" w:line="360" w:lineRule="auto"/>
        <w:ind w:left="0" w:right="0" w:firstLine="708"/>
        <w:jc w:val="center"/>
        <w:rPr>
          <w:rFonts w:eastAsia="Times New Roman"/>
          <w:b/>
          <w:color w:val="auto"/>
          <w:szCs w:val="24"/>
          <w:lang w:val="en-US" w:eastAsia="es-ES"/>
        </w:rPr>
      </w:pPr>
    </w:p>
    <w:p w:rsidR="000176DF" w:rsidRPr="000176DF" w:rsidRDefault="000176DF" w:rsidP="000176DF">
      <w:pPr>
        <w:spacing w:after="0" w:line="240" w:lineRule="auto"/>
        <w:ind w:left="0" w:right="0" w:firstLine="0"/>
        <w:rPr>
          <w:rFonts w:eastAsia="Times New Roman"/>
          <w:b/>
          <w:color w:val="auto"/>
          <w:szCs w:val="24"/>
          <w:lang w:val="es-ES" w:eastAsia="es-ES"/>
        </w:rPr>
      </w:pPr>
      <w:r w:rsidRPr="000176DF">
        <w:rPr>
          <w:rFonts w:eastAsia="Times New Roman"/>
          <w:b/>
          <w:color w:val="auto"/>
          <w:szCs w:val="24"/>
          <w:lang w:val="es-ES" w:eastAsia="es-ES"/>
        </w:rPr>
        <w:t>Artículo primero. Entrada en vigor</w:t>
      </w:r>
    </w:p>
    <w:p w:rsidR="000176DF" w:rsidRPr="000176DF" w:rsidRDefault="000176DF" w:rsidP="000176DF">
      <w:pPr>
        <w:spacing w:after="0" w:line="240" w:lineRule="auto"/>
        <w:ind w:left="0" w:right="0" w:firstLine="0"/>
        <w:rPr>
          <w:rFonts w:eastAsia="Times New Roman"/>
          <w:b/>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r w:rsidRPr="000176DF">
        <w:rPr>
          <w:rFonts w:eastAsia="Times New Roman"/>
          <w:color w:val="auto"/>
          <w:szCs w:val="24"/>
          <w:lang w:val="es-ES" w:eastAsia="es-ES"/>
        </w:rPr>
        <w:t>Este decreto entrará en vigor el día siguiente al de su publicación en el Diario Oficial del Gobierno del Estado de Yucatán.</w:t>
      </w: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p>
    <w:p w:rsidR="000176DF" w:rsidRPr="000176DF" w:rsidRDefault="000176DF" w:rsidP="000176DF">
      <w:pPr>
        <w:widowControl w:val="0"/>
        <w:autoSpaceDE w:val="0"/>
        <w:autoSpaceDN w:val="0"/>
        <w:adjustRightInd w:val="0"/>
        <w:spacing w:after="0" w:line="360" w:lineRule="auto"/>
        <w:ind w:left="0" w:right="0" w:firstLine="0"/>
        <w:rPr>
          <w:rFonts w:eastAsia="Times New Roman"/>
          <w:b/>
          <w:color w:val="auto"/>
          <w:szCs w:val="24"/>
          <w:lang w:val="es-ES" w:eastAsia="es-ES"/>
        </w:rPr>
      </w:pPr>
      <w:r w:rsidRPr="000176DF">
        <w:rPr>
          <w:rFonts w:eastAsia="Times New Roman"/>
          <w:b/>
          <w:color w:val="auto"/>
          <w:szCs w:val="24"/>
          <w:lang w:val="es-ES" w:eastAsia="es-ES"/>
        </w:rPr>
        <w:t>Artículo segundo. Plazo para actualizar el inventario</w:t>
      </w:r>
    </w:p>
    <w:p w:rsidR="000176DF" w:rsidRPr="000176DF" w:rsidRDefault="000176DF" w:rsidP="000176DF">
      <w:pPr>
        <w:widowControl w:val="0"/>
        <w:autoSpaceDE w:val="0"/>
        <w:autoSpaceDN w:val="0"/>
        <w:adjustRightInd w:val="0"/>
        <w:spacing w:after="0" w:line="360" w:lineRule="auto"/>
        <w:ind w:left="0" w:right="0" w:firstLine="0"/>
        <w:rPr>
          <w:rFonts w:eastAsia="Times New Roman"/>
          <w:color w:val="auto"/>
          <w:szCs w:val="24"/>
          <w:lang w:val="es-ES" w:eastAsia="es-ES"/>
        </w:rPr>
      </w:pPr>
      <w:r w:rsidRPr="000176DF">
        <w:rPr>
          <w:rFonts w:eastAsia="Times New Roman"/>
          <w:color w:val="auto"/>
          <w:szCs w:val="24"/>
          <w:lang w:val="es-ES" w:eastAsia="es-ES"/>
        </w:rPr>
        <w:t>El proceso de inventario se realizará en un plazo de seis meses a partir de la entrada en vigor de este Decreto.</w:t>
      </w:r>
    </w:p>
    <w:p w:rsidR="000E35C3" w:rsidRPr="000176DF" w:rsidRDefault="000E35C3" w:rsidP="000E35C3">
      <w:pPr>
        <w:spacing w:after="0" w:line="240" w:lineRule="auto"/>
        <w:ind w:left="0" w:right="0" w:firstLine="0"/>
        <w:rPr>
          <w:rFonts w:eastAsia="Calibri"/>
          <w:color w:val="auto"/>
          <w:szCs w:val="24"/>
          <w:lang w:val="es-ES" w:eastAsia="en-US"/>
        </w:rPr>
      </w:pPr>
    </w:p>
    <w:p w:rsidR="000E35C3" w:rsidRPr="001820C4" w:rsidRDefault="000E35C3" w:rsidP="000E35C3">
      <w:pPr>
        <w:shd w:val="clear" w:color="auto" w:fill="FFFFFF"/>
        <w:adjustRightInd w:val="0"/>
        <w:spacing w:after="0"/>
        <w:ind w:left="0" w:right="-6"/>
        <w:rPr>
          <w:b/>
          <w:bCs/>
          <w:sz w:val="22"/>
        </w:rPr>
      </w:pPr>
      <w:r w:rsidRPr="001820C4">
        <w:rPr>
          <w:b/>
          <w:bCs/>
          <w:sz w:val="22"/>
        </w:rPr>
        <w:t>DADO EN LA SEDE DEL RECINTO DEL PODER LEGISLATIVO EN LA CIUDAD DE MÉRIDA, YUCATÁN, ESTADOS UNIDOS MEXICANOS A</w:t>
      </w:r>
      <w:r>
        <w:rPr>
          <w:b/>
          <w:bCs/>
          <w:sz w:val="22"/>
        </w:rPr>
        <w:t xml:space="preserve"> </w:t>
      </w:r>
      <w:r w:rsidR="000176DF">
        <w:rPr>
          <w:b/>
          <w:bCs/>
          <w:sz w:val="22"/>
        </w:rPr>
        <w:t>LOS VEINTISIETE</w:t>
      </w:r>
      <w:r>
        <w:rPr>
          <w:b/>
          <w:bCs/>
          <w:sz w:val="22"/>
        </w:rPr>
        <w:t xml:space="preserve"> </w:t>
      </w:r>
      <w:r w:rsidRPr="001820C4">
        <w:rPr>
          <w:b/>
          <w:bCs/>
          <w:sz w:val="22"/>
        </w:rPr>
        <w:t>DÍA</w:t>
      </w:r>
      <w:r>
        <w:rPr>
          <w:b/>
          <w:bCs/>
          <w:sz w:val="22"/>
        </w:rPr>
        <w:t>S</w:t>
      </w:r>
      <w:r w:rsidR="000176DF">
        <w:rPr>
          <w:b/>
          <w:bCs/>
          <w:sz w:val="22"/>
        </w:rPr>
        <w:t xml:space="preserve"> DEL MES DE NOVIEMBRE</w:t>
      </w:r>
      <w:r w:rsidRPr="001820C4">
        <w:rPr>
          <w:b/>
          <w:bCs/>
          <w:sz w:val="22"/>
        </w:rPr>
        <w:t xml:space="preserve"> DEL AÑO DOS MIL DIECINUEVE.</w:t>
      </w:r>
    </w:p>
    <w:p w:rsidR="000E35C3" w:rsidRPr="001820C4" w:rsidRDefault="000E35C3" w:rsidP="000E35C3">
      <w:pPr>
        <w:shd w:val="clear" w:color="auto" w:fill="FFFFFF"/>
        <w:adjustRightInd w:val="0"/>
        <w:spacing w:after="0"/>
        <w:ind w:left="0" w:firstLine="709"/>
        <w:jc w:val="center"/>
        <w:rPr>
          <w:b/>
          <w:bCs/>
          <w:sz w:val="22"/>
        </w:rPr>
      </w:pPr>
    </w:p>
    <w:p w:rsidR="000E35C3" w:rsidRPr="001820C4" w:rsidRDefault="000E35C3" w:rsidP="000E35C3">
      <w:pPr>
        <w:spacing w:after="0" w:line="360" w:lineRule="auto"/>
        <w:ind w:left="0"/>
        <w:jc w:val="center"/>
        <w:rPr>
          <w:b/>
          <w:sz w:val="22"/>
        </w:rPr>
      </w:pPr>
      <w:r w:rsidRPr="001820C4">
        <w:rPr>
          <w:b/>
          <w:sz w:val="22"/>
        </w:rPr>
        <w:t>PRESIDENTE:</w:t>
      </w:r>
    </w:p>
    <w:p w:rsidR="000E35C3" w:rsidRPr="001820C4" w:rsidRDefault="000E35C3" w:rsidP="000E35C3">
      <w:pPr>
        <w:spacing w:after="0" w:line="360" w:lineRule="auto"/>
        <w:ind w:left="0"/>
        <w:jc w:val="center"/>
        <w:rPr>
          <w:b/>
          <w:sz w:val="22"/>
        </w:rPr>
      </w:pPr>
    </w:p>
    <w:p w:rsidR="000E35C3" w:rsidRPr="001820C4" w:rsidRDefault="000E35C3" w:rsidP="000E35C3">
      <w:pPr>
        <w:spacing w:after="0" w:line="360" w:lineRule="auto"/>
        <w:ind w:left="0"/>
        <w:jc w:val="center"/>
        <w:rPr>
          <w:b/>
          <w:sz w:val="22"/>
        </w:rPr>
      </w:pPr>
      <w:r w:rsidRPr="001820C4">
        <w:rPr>
          <w:b/>
          <w:sz w:val="22"/>
        </w:rPr>
        <w:t>DIP. MARTÍN ENRIQUE CASTILLO RUZ.</w:t>
      </w:r>
    </w:p>
    <w:p w:rsidR="000E35C3" w:rsidRPr="001820C4" w:rsidRDefault="000E35C3" w:rsidP="000E35C3">
      <w:pPr>
        <w:spacing w:after="0" w:line="360" w:lineRule="auto"/>
        <w:ind w:left="0"/>
        <w:jc w:val="center"/>
        <w:rPr>
          <w:b/>
          <w:sz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0E35C3" w:rsidRPr="001820C4" w:rsidTr="001C157C">
        <w:trPr>
          <w:jc w:val="center"/>
        </w:trPr>
        <w:tc>
          <w:tcPr>
            <w:tcW w:w="5032" w:type="dxa"/>
          </w:tcPr>
          <w:p w:rsidR="000E35C3" w:rsidRPr="001820C4" w:rsidRDefault="000176DF" w:rsidP="000E35C3">
            <w:pPr>
              <w:spacing w:after="0" w:line="360" w:lineRule="auto"/>
              <w:ind w:left="0"/>
              <w:jc w:val="center"/>
              <w:rPr>
                <w:b/>
                <w:sz w:val="22"/>
              </w:rPr>
            </w:pPr>
            <w:r>
              <w:rPr>
                <w:b/>
                <w:sz w:val="22"/>
              </w:rPr>
              <w:t>SECRETARIO</w:t>
            </w:r>
            <w:r w:rsidR="000E35C3" w:rsidRPr="001820C4">
              <w:rPr>
                <w:b/>
                <w:sz w:val="22"/>
              </w:rPr>
              <w:t>:</w:t>
            </w:r>
          </w:p>
          <w:p w:rsidR="000E35C3" w:rsidRPr="001820C4" w:rsidRDefault="000E35C3" w:rsidP="000E35C3">
            <w:pPr>
              <w:spacing w:after="0" w:line="360" w:lineRule="auto"/>
              <w:ind w:left="0"/>
              <w:rPr>
                <w:b/>
                <w:sz w:val="22"/>
              </w:rPr>
            </w:pPr>
          </w:p>
          <w:p w:rsidR="000E35C3" w:rsidRPr="001820C4" w:rsidRDefault="00EE3A1B" w:rsidP="000E35C3">
            <w:pPr>
              <w:spacing w:after="0" w:line="360" w:lineRule="auto"/>
              <w:ind w:left="0"/>
              <w:jc w:val="center"/>
              <w:rPr>
                <w:b/>
                <w:sz w:val="22"/>
              </w:rPr>
            </w:pPr>
            <w:r>
              <w:rPr>
                <w:b/>
                <w:sz w:val="22"/>
              </w:rPr>
              <w:t>DIP. MIGUEL ESTEBAN RODRÍ</w:t>
            </w:r>
            <w:r w:rsidR="000176DF">
              <w:rPr>
                <w:b/>
                <w:sz w:val="22"/>
              </w:rPr>
              <w:t>GUEZ BAQUEIRO</w:t>
            </w:r>
            <w:r w:rsidR="000E35C3" w:rsidRPr="001820C4">
              <w:rPr>
                <w:b/>
                <w:sz w:val="22"/>
              </w:rPr>
              <w:t>.</w:t>
            </w:r>
          </w:p>
        </w:tc>
        <w:tc>
          <w:tcPr>
            <w:tcW w:w="4831" w:type="dxa"/>
          </w:tcPr>
          <w:p w:rsidR="000E35C3" w:rsidRPr="001820C4" w:rsidRDefault="000E35C3" w:rsidP="000E35C3">
            <w:pPr>
              <w:spacing w:after="0" w:line="360" w:lineRule="auto"/>
              <w:ind w:left="0"/>
              <w:jc w:val="center"/>
              <w:rPr>
                <w:b/>
                <w:sz w:val="22"/>
              </w:rPr>
            </w:pPr>
            <w:r w:rsidRPr="001820C4">
              <w:rPr>
                <w:b/>
                <w:sz w:val="22"/>
              </w:rPr>
              <w:t>SECRETARIO:</w:t>
            </w:r>
          </w:p>
          <w:p w:rsidR="000E35C3" w:rsidRPr="001820C4" w:rsidRDefault="000E35C3" w:rsidP="000E35C3">
            <w:pPr>
              <w:spacing w:after="0" w:line="360" w:lineRule="auto"/>
              <w:ind w:left="0"/>
              <w:rPr>
                <w:b/>
                <w:sz w:val="22"/>
              </w:rPr>
            </w:pPr>
          </w:p>
          <w:p w:rsidR="000E35C3" w:rsidRPr="001820C4" w:rsidRDefault="000E35C3" w:rsidP="000E35C3">
            <w:pPr>
              <w:spacing w:after="0" w:line="360" w:lineRule="auto"/>
              <w:ind w:left="0"/>
              <w:jc w:val="center"/>
              <w:rPr>
                <w:b/>
                <w:sz w:val="22"/>
              </w:rPr>
            </w:pPr>
            <w:r w:rsidRPr="001820C4">
              <w:rPr>
                <w:b/>
                <w:sz w:val="22"/>
              </w:rPr>
              <w:t>DIP. LUIS HERMELINDO LOEZA PACHECO.</w:t>
            </w:r>
          </w:p>
        </w:tc>
      </w:tr>
    </w:tbl>
    <w:p w:rsidR="000E35C3" w:rsidRPr="00AF7DE6" w:rsidRDefault="000E35C3" w:rsidP="000E35C3">
      <w:pPr>
        <w:spacing w:after="0" w:line="360" w:lineRule="auto"/>
        <w:ind w:left="0" w:right="0" w:firstLine="0"/>
        <w:rPr>
          <w:b/>
          <w:sz w:val="16"/>
          <w:szCs w:val="16"/>
        </w:rPr>
      </w:pPr>
      <w:bookmarkStart w:id="0" w:name="_GoBack"/>
      <w:bookmarkEnd w:id="0"/>
    </w:p>
    <w:sectPr w:rsidR="000E35C3" w:rsidRPr="00AF7DE6"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E3A1B" w:rsidRPr="00EE3A1B">
          <w:rPr>
            <w:rFonts w:ascii="Arial" w:hAnsi="Arial" w:cs="Arial"/>
            <w:noProof/>
            <w:lang w:val="es-ES"/>
          </w:rPr>
          <w:t>8</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A324F9" w:rsidRPr="00A324F9" w:rsidRDefault="00A324F9" w:rsidP="00A324F9">
                          <w:pPr>
                            <w:spacing w:after="0"/>
                            <w:ind w:left="1701"/>
                            <w:rPr>
                              <w:rFonts w:ascii="Brush Script MT" w:hAnsi="Brush Script MT"/>
                              <w:b/>
                              <w:i/>
                              <w:sz w:val="26"/>
                              <w:szCs w:val="26"/>
                              <w:lang w:eastAsia="es-ES"/>
                            </w:rPr>
                          </w:pPr>
                          <w:r w:rsidRPr="00A324F9">
                            <w:rPr>
                              <w:rFonts w:ascii="Brush Script MT" w:hAnsi="Brush Script MT"/>
                              <w:b/>
                              <w:i/>
                              <w:sz w:val="26"/>
                              <w:szCs w:val="26"/>
                              <w:lang w:eastAsia="es-ES"/>
                            </w:rPr>
                            <w:t>“LXII Legislatura de la paridad de género”</w:t>
                          </w:r>
                        </w:p>
                        <w:p w:rsidR="00A324F9" w:rsidRPr="00A324F9" w:rsidRDefault="00A324F9"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A324F9" w:rsidRPr="00A324F9" w:rsidRDefault="00A324F9" w:rsidP="00A324F9">
                    <w:pPr>
                      <w:spacing w:after="0"/>
                      <w:ind w:left="1701"/>
                      <w:rPr>
                        <w:rFonts w:ascii="Brush Script MT" w:hAnsi="Brush Script MT"/>
                        <w:b/>
                        <w:i/>
                        <w:sz w:val="26"/>
                        <w:szCs w:val="26"/>
                        <w:lang w:eastAsia="es-ES"/>
                      </w:rPr>
                    </w:pPr>
                    <w:r w:rsidRPr="00A324F9">
                      <w:rPr>
                        <w:rFonts w:ascii="Brush Script MT" w:hAnsi="Brush Script MT"/>
                        <w:b/>
                        <w:i/>
                        <w:sz w:val="26"/>
                        <w:szCs w:val="26"/>
                        <w:lang w:eastAsia="es-ES"/>
                      </w:rPr>
                      <w:t>“LXII Legislatura de la paridad de género”</w:t>
                    </w:r>
                  </w:p>
                  <w:p w:rsidR="00A324F9" w:rsidRPr="00A324F9" w:rsidRDefault="00A324F9"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1E9"/>
    <w:rsid w:val="00000C33"/>
    <w:rsid w:val="000062DE"/>
    <w:rsid w:val="000176DF"/>
    <w:rsid w:val="000178FF"/>
    <w:rsid w:val="00022400"/>
    <w:rsid w:val="000256AF"/>
    <w:rsid w:val="00027EFA"/>
    <w:rsid w:val="00034F57"/>
    <w:rsid w:val="00036CC2"/>
    <w:rsid w:val="00036D7E"/>
    <w:rsid w:val="00040325"/>
    <w:rsid w:val="00040C28"/>
    <w:rsid w:val="00041B7E"/>
    <w:rsid w:val="00042B2B"/>
    <w:rsid w:val="00045FEC"/>
    <w:rsid w:val="000466B6"/>
    <w:rsid w:val="000505ED"/>
    <w:rsid w:val="0005188B"/>
    <w:rsid w:val="000562E0"/>
    <w:rsid w:val="0006084F"/>
    <w:rsid w:val="000611DB"/>
    <w:rsid w:val="00062E48"/>
    <w:rsid w:val="00063F97"/>
    <w:rsid w:val="00071AB4"/>
    <w:rsid w:val="000727B0"/>
    <w:rsid w:val="00073B6A"/>
    <w:rsid w:val="00075B69"/>
    <w:rsid w:val="00080B3C"/>
    <w:rsid w:val="00081173"/>
    <w:rsid w:val="00082E6E"/>
    <w:rsid w:val="0008575C"/>
    <w:rsid w:val="00085D02"/>
    <w:rsid w:val="00086021"/>
    <w:rsid w:val="000908F3"/>
    <w:rsid w:val="000A2CA9"/>
    <w:rsid w:val="000A6E07"/>
    <w:rsid w:val="000A6E66"/>
    <w:rsid w:val="000B0AF9"/>
    <w:rsid w:val="000B443B"/>
    <w:rsid w:val="000B4F9B"/>
    <w:rsid w:val="000B51F5"/>
    <w:rsid w:val="000B5931"/>
    <w:rsid w:val="000C13AD"/>
    <w:rsid w:val="000C37BC"/>
    <w:rsid w:val="000C38B3"/>
    <w:rsid w:val="000C524D"/>
    <w:rsid w:val="000C677F"/>
    <w:rsid w:val="000C6DF2"/>
    <w:rsid w:val="000D0727"/>
    <w:rsid w:val="000D0D28"/>
    <w:rsid w:val="000D5C62"/>
    <w:rsid w:val="000D652E"/>
    <w:rsid w:val="000E2FB0"/>
    <w:rsid w:val="000E3041"/>
    <w:rsid w:val="000E35C3"/>
    <w:rsid w:val="000F3DB6"/>
    <w:rsid w:val="00100B94"/>
    <w:rsid w:val="00101C60"/>
    <w:rsid w:val="0010302F"/>
    <w:rsid w:val="00107EB3"/>
    <w:rsid w:val="00113348"/>
    <w:rsid w:val="00115C55"/>
    <w:rsid w:val="00115F14"/>
    <w:rsid w:val="001179FA"/>
    <w:rsid w:val="00124C13"/>
    <w:rsid w:val="00126CB3"/>
    <w:rsid w:val="00127389"/>
    <w:rsid w:val="00133994"/>
    <w:rsid w:val="00136C36"/>
    <w:rsid w:val="001437E3"/>
    <w:rsid w:val="00143DAC"/>
    <w:rsid w:val="00145A19"/>
    <w:rsid w:val="00147A9F"/>
    <w:rsid w:val="00150BEA"/>
    <w:rsid w:val="001572E6"/>
    <w:rsid w:val="001579B1"/>
    <w:rsid w:val="001628C7"/>
    <w:rsid w:val="00162C34"/>
    <w:rsid w:val="00164BF3"/>
    <w:rsid w:val="00165FF8"/>
    <w:rsid w:val="00173A12"/>
    <w:rsid w:val="00173FA7"/>
    <w:rsid w:val="00174AC9"/>
    <w:rsid w:val="001753F5"/>
    <w:rsid w:val="00180EA2"/>
    <w:rsid w:val="00181956"/>
    <w:rsid w:val="0018314C"/>
    <w:rsid w:val="00192C28"/>
    <w:rsid w:val="001A7AE7"/>
    <w:rsid w:val="001A7B9D"/>
    <w:rsid w:val="001B252E"/>
    <w:rsid w:val="001B25A0"/>
    <w:rsid w:val="001B2D29"/>
    <w:rsid w:val="001B3A24"/>
    <w:rsid w:val="001B461D"/>
    <w:rsid w:val="001B46D3"/>
    <w:rsid w:val="001B6017"/>
    <w:rsid w:val="001C162B"/>
    <w:rsid w:val="001C6020"/>
    <w:rsid w:val="001C7067"/>
    <w:rsid w:val="001D0020"/>
    <w:rsid w:val="001D2DE4"/>
    <w:rsid w:val="001D6C9A"/>
    <w:rsid w:val="001E0BF4"/>
    <w:rsid w:val="001E1519"/>
    <w:rsid w:val="001E20BB"/>
    <w:rsid w:val="001E2144"/>
    <w:rsid w:val="001E325C"/>
    <w:rsid w:val="001E3B7D"/>
    <w:rsid w:val="001E41BE"/>
    <w:rsid w:val="001E6240"/>
    <w:rsid w:val="001F0B6D"/>
    <w:rsid w:val="001F1DCD"/>
    <w:rsid w:val="001F36C4"/>
    <w:rsid w:val="001F5603"/>
    <w:rsid w:val="001F6687"/>
    <w:rsid w:val="002008C9"/>
    <w:rsid w:val="0020208D"/>
    <w:rsid w:val="00204DC4"/>
    <w:rsid w:val="00205A90"/>
    <w:rsid w:val="00225955"/>
    <w:rsid w:val="002358C0"/>
    <w:rsid w:val="00253CAF"/>
    <w:rsid w:val="00253FF4"/>
    <w:rsid w:val="00255CDB"/>
    <w:rsid w:val="00256E89"/>
    <w:rsid w:val="00260962"/>
    <w:rsid w:val="00261B8F"/>
    <w:rsid w:val="002626A4"/>
    <w:rsid w:val="00266801"/>
    <w:rsid w:val="002679ED"/>
    <w:rsid w:val="00274629"/>
    <w:rsid w:val="0027696D"/>
    <w:rsid w:val="0028264A"/>
    <w:rsid w:val="0028596B"/>
    <w:rsid w:val="00290823"/>
    <w:rsid w:val="002916AE"/>
    <w:rsid w:val="00297DC5"/>
    <w:rsid w:val="002A6B12"/>
    <w:rsid w:val="002A6DDB"/>
    <w:rsid w:val="002A7C64"/>
    <w:rsid w:val="002B059E"/>
    <w:rsid w:val="002B568E"/>
    <w:rsid w:val="002B6D75"/>
    <w:rsid w:val="002C0781"/>
    <w:rsid w:val="002C1550"/>
    <w:rsid w:val="002D4266"/>
    <w:rsid w:val="002D4277"/>
    <w:rsid w:val="002D46A3"/>
    <w:rsid w:val="002E2E91"/>
    <w:rsid w:val="002E66DB"/>
    <w:rsid w:val="002E6C0A"/>
    <w:rsid w:val="002E7829"/>
    <w:rsid w:val="002F0639"/>
    <w:rsid w:val="002F0A3F"/>
    <w:rsid w:val="002F0D18"/>
    <w:rsid w:val="002F2BFF"/>
    <w:rsid w:val="002F3F72"/>
    <w:rsid w:val="00303B9F"/>
    <w:rsid w:val="003074BF"/>
    <w:rsid w:val="00311CDA"/>
    <w:rsid w:val="0031423A"/>
    <w:rsid w:val="00315F37"/>
    <w:rsid w:val="00320649"/>
    <w:rsid w:val="00323D18"/>
    <w:rsid w:val="0032423C"/>
    <w:rsid w:val="003269F6"/>
    <w:rsid w:val="003274E0"/>
    <w:rsid w:val="0033048A"/>
    <w:rsid w:val="00330C12"/>
    <w:rsid w:val="003331CB"/>
    <w:rsid w:val="00343123"/>
    <w:rsid w:val="00343A04"/>
    <w:rsid w:val="003440CC"/>
    <w:rsid w:val="003444EC"/>
    <w:rsid w:val="00345EA6"/>
    <w:rsid w:val="00346A7A"/>
    <w:rsid w:val="00346AD6"/>
    <w:rsid w:val="003476F0"/>
    <w:rsid w:val="003476F4"/>
    <w:rsid w:val="00351C47"/>
    <w:rsid w:val="00352955"/>
    <w:rsid w:val="00354180"/>
    <w:rsid w:val="00356003"/>
    <w:rsid w:val="00357E64"/>
    <w:rsid w:val="00360EC2"/>
    <w:rsid w:val="0038070E"/>
    <w:rsid w:val="003859CB"/>
    <w:rsid w:val="00387D11"/>
    <w:rsid w:val="003920AE"/>
    <w:rsid w:val="0039385A"/>
    <w:rsid w:val="00394404"/>
    <w:rsid w:val="00394CE1"/>
    <w:rsid w:val="003A088D"/>
    <w:rsid w:val="003A40BA"/>
    <w:rsid w:val="003A52EE"/>
    <w:rsid w:val="003A553C"/>
    <w:rsid w:val="003A563C"/>
    <w:rsid w:val="003B66D5"/>
    <w:rsid w:val="003C187C"/>
    <w:rsid w:val="003C30F6"/>
    <w:rsid w:val="003C5054"/>
    <w:rsid w:val="003D09A4"/>
    <w:rsid w:val="003D2137"/>
    <w:rsid w:val="003D5BE1"/>
    <w:rsid w:val="003D6CD1"/>
    <w:rsid w:val="003E66BB"/>
    <w:rsid w:val="003E6E5B"/>
    <w:rsid w:val="003F0D24"/>
    <w:rsid w:val="003F0DED"/>
    <w:rsid w:val="003F2083"/>
    <w:rsid w:val="003F397E"/>
    <w:rsid w:val="003F410F"/>
    <w:rsid w:val="003F7306"/>
    <w:rsid w:val="003F76E9"/>
    <w:rsid w:val="004010C2"/>
    <w:rsid w:val="00407E91"/>
    <w:rsid w:val="004113D0"/>
    <w:rsid w:val="004118C7"/>
    <w:rsid w:val="00414492"/>
    <w:rsid w:val="0042119C"/>
    <w:rsid w:val="004230F8"/>
    <w:rsid w:val="004238C2"/>
    <w:rsid w:val="00424C08"/>
    <w:rsid w:val="00425BE0"/>
    <w:rsid w:val="00430306"/>
    <w:rsid w:val="0043074A"/>
    <w:rsid w:val="00431985"/>
    <w:rsid w:val="004349BD"/>
    <w:rsid w:val="00436F6C"/>
    <w:rsid w:val="0044518D"/>
    <w:rsid w:val="004458A0"/>
    <w:rsid w:val="00446925"/>
    <w:rsid w:val="004563DB"/>
    <w:rsid w:val="00460269"/>
    <w:rsid w:val="00461363"/>
    <w:rsid w:val="004629AE"/>
    <w:rsid w:val="00463512"/>
    <w:rsid w:val="00472776"/>
    <w:rsid w:val="00473B00"/>
    <w:rsid w:val="004753FF"/>
    <w:rsid w:val="00475766"/>
    <w:rsid w:val="004761DF"/>
    <w:rsid w:val="00482C82"/>
    <w:rsid w:val="0048335C"/>
    <w:rsid w:val="00484527"/>
    <w:rsid w:val="0049057B"/>
    <w:rsid w:val="00495049"/>
    <w:rsid w:val="004967F1"/>
    <w:rsid w:val="004A73FD"/>
    <w:rsid w:val="004A7ACB"/>
    <w:rsid w:val="004A7E28"/>
    <w:rsid w:val="004B4CAC"/>
    <w:rsid w:val="004B6C20"/>
    <w:rsid w:val="004B6EFA"/>
    <w:rsid w:val="004B7773"/>
    <w:rsid w:val="004B7E67"/>
    <w:rsid w:val="004C0693"/>
    <w:rsid w:val="004C2CE0"/>
    <w:rsid w:val="004C51A5"/>
    <w:rsid w:val="004C6CB1"/>
    <w:rsid w:val="004D063C"/>
    <w:rsid w:val="004D067C"/>
    <w:rsid w:val="004D4DDD"/>
    <w:rsid w:val="004D7F1F"/>
    <w:rsid w:val="004E1691"/>
    <w:rsid w:val="004E2ABB"/>
    <w:rsid w:val="004E4FC4"/>
    <w:rsid w:val="004E5CAA"/>
    <w:rsid w:val="004F0F0D"/>
    <w:rsid w:val="004F75A3"/>
    <w:rsid w:val="00506355"/>
    <w:rsid w:val="0050639C"/>
    <w:rsid w:val="00507BBE"/>
    <w:rsid w:val="0051012E"/>
    <w:rsid w:val="005108B0"/>
    <w:rsid w:val="005109B0"/>
    <w:rsid w:val="0051151D"/>
    <w:rsid w:val="0051223E"/>
    <w:rsid w:val="00522AB5"/>
    <w:rsid w:val="005244EA"/>
    <w:rsid w:val="005334AF"/>
    <w:rsid w:val="00533AD6"/>
    <w:rsid w:val="00536359"/>
    <w:rsid w:val="00537E17"/>
    <w:rsid w:val="005408FB"/>
    <w:rsid w:val="00546937"/>
    <w:rsid w:val="00552156"/>
    <w:rsid w:val="005535C1"/>
    <w:rsid w:val="005539AA"/>
    <w:rsid w:val="00555DED"/>
    <w:rsid w:val="0056664B"/>
    <w:rsid w:val="005739AF"/>
    <w:rsid w:val="00575A33"/>
    <w:rsid w:val="00576C3D"/>
    <w:rsid w:val="00577B7D"/>
    <w:rsid w:val="00580526"/>
    <w:rsid w:val="005826A4"/>
    <w:rsid w:val="00585695"/>
    <w:rsid w:val="00586FE2"/>
    <w:rsid w:val="00590B6D"/>
    <w:rsid w:val="0059190A"/>
    <w:rsid w:val="005945C9"/>
    <w:rsid w:val="005A2416"/>
    <w:rsid w:val="005A48D4"/>
    <w:rsid w:val="005A5BDD"/>
    <w:rsid w:val="005A638D"/>
    <w:rsid w:val="005A69D7"/>
    <w:rsid w:val="005A6A75"/>
    <w:rsid w:val="005B2037"/>
    <w:rsid w:val="005B4EA9"/>
    <w:rsid w:val="005B7251"/>
    <w:rsid w:val="005C0683"/>
    <w:rsid w:val="005C16D4"/>
    <w:rsid w:val="005C7697"/>
    <w:rsid w:val="005D45D4"/>
    <w:rsid w:val="005D5D43"/>
    <w:rsid w:val="005D6400"/>
    <w:rsid w:val="005E2585"/>
    <w:rsid w:val="005E47E5"/>
    <w:rsid w:val="005E49CA"/>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3FD5"/>
    <w:rsid w:val="0063407A"/>
    <w:rsid w:val="00635CFE"/>
    <w:rsid w:val="006360EB"/>
    <w:rsid w:val="006363F5"/>
    <w:rsid w:val="0063743A"/>
    <w:rsid w:val="00637805"/>
    <w:rsid w:val="00641D4D"/>
    <w:rsid w:val="00643C82"/>
    <w:rsid w:val="006440A1"/>
    <w:rsid w:val="0064458A"/>
    <w:rsid w:val="0064462A"/>
    <w:rsid w:val="00645BBC"/>
    <w:rsid w:val="006463AE"/>
    <w:rsid w:val="00646CEC"/>
    <w:rsid w:val="00652AA9"/>
    <w:rsid w:val="006531A8"/>
    <w:rsid w:val="00654DE2"/>
    <w:rsid w:val="00654E7F"/>
    <w:rsid w:val="00657815"/>
    <w:rsid w:val="0066098F"/>
    <w:rsid w:val="006706B6"/>
    <w:rsid w:val="00672C23"/>
    <w:rsid w:val="006730D7"/>
    <w:rsid w:val="00681287"/>
    <w:rsid w:val="00681E70"/>
    <w:rsid w:val="00685C4F"/>
    <w:rsid w:val="00691173"/>
    <w:rsid w:val="00691AA4"/>
    <w:rsid w:val="00692DEB"/>
    <w:rsid w:val="00697153"/>
    <w:rsid w:val="006A42C5"/>
    <w:rsid w:val="006A4F32"/>
    <w:rsid w:val="006B13F3"/>
    <w:rsid w:val="006C0363"/>
    <w:rsid w:val="006C2060"/>
    <w:rsid w:val="006C4945"/>
    <w:rsid w:val="006C69F5"/>
    <w:rsid w:val="006D0204"/>
    <w:rsid w:val="006D6661"/>
    <w:rsid w:val="006D66AA"/>
    <w:rsid w:val="006E2AF9"/>
    <w:rsid w:val="006F4BB6"/>
    <w:rsid w:val="006F692B"/>
    <w:rsid w:val="007012D9"/>
    <w:rsid w:val="007043D0"/>
    <w:rsid w:val="00705EAB"/>
    <w:rsid w:val="00710452"/>
    <w:rsid w:val="00710DD3"/>
    <w:rsid w:val="00716F0A"/>
    <w:rsid w:val="00724B49"/>
    <w:rsid w:val="00731A96"/>
    <w:rsid w:val="00743015"/>
    <w:rsid w:val="007447B1"/>
    <w:rsid w:val="007465E5"/>
    <w:rsid w:val="0075036F"/>
    <w:rsid w:val="007508BB"/>
    <w:rsid w:val="00751EB8"/>
    <w:rsid w:val="00753037"/>
    <w:rsid w:val="00753C61"/>
    <w:rsid w:val="007560B0"/>
    <w:rsid w:val="00761A27"/>
    <w:rsid w:val="007654CB"/>
    <w:rsid w:val="00765908"/>
    <w:rsid w:val="0076690B"/>
    <w:rsid w:val="00766D66"/>
    <w:rsid w:val="0077303E"/>
    <w:rsid w:val="007733F0"/>
    <w:rsid w:val="00774BAB"/>
    <w:rsid w:val="007828D0"/>
    <w:rsid w:val="00782F04"/>
    <w:rsid w:val="00783DAA"/>
    <w:rsid w:val="00785375"/>
    <w:rsid w:val="00786F9E"/>
    <w:rsid w:val="007933EB"/>
    <w:rsid w:val="007A0535"/>
    <w:rsid w:val="007A0FC6"/>
    <w:rsid w:val="007A3C01"/>
    <w:rsid w:val="007A4CC3"/>
    <w:rsid w:val="007B07F8"/>
    <w:rsid w:val="007B2FFB"/>
    <w:rsid w:val="007B5DDC"/>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10FCE"/>
    <w:rsid w:val="008144AF"/>
    <w:rsid w:val="00814D98"/>
    <w:rsid w:val="008158B6"/>
    <w:rsid w:val="00815A2A"/>
    <w:rsid w:val="008160E5"/>
    <w:rsid w:val="0082241A"/>
    <w:rsid w:val="00822A34"/>
    <w:rsid w:val="00824030"/>
    <w:rsid w:val="008256CC"/>
    <w:rsid w:val="0083230D"/>
    <w:rsid w:val="00832F48"/>
    <w:rsid w:val="008345D1"/>
    <w:rsid w:val="008347DF"/>
    <w:rsid w:val="00842E87"/>
    <w:rsid w:val="00844470"/>
    <w:rsid w:val="00850332"/>
    <w:rsid w:val="00852B2E"/>
    <w:rsid w:val="008575D7"/>
    <w:rsid w:val="00874277"/>
    <w:rsid w:val="0088570C"/>
    <w:rsid w:val="0089102A"/>
    <w:rsid w:val="0089182A"/>
    <w:rsid w:val="00892FC1"/>
    <w:rsid w:val="008A7172"/>
    <w:rsid w:val="008B00C6"/>
    <w:rsid w:val="008B363A"/>
    <w:rsid w:val="008B49FD"/>
    <w:rsid w:val="008B5C47"/>
    <w:rsid w:val="008B734D"/>
    <w:rsid w:val="008C1239"/>
    <w:rsid w:val="008C16B4"/>
    <w:rsid w:val="008C28F7"/>
    <w:rsid w:val="008D1E05"/>
    <w:rsid w:val="008D7B09"/>
    <w:rsid w:val="008E07B6"/>
    <w:rsid w:val="008E1D24"/>
    <w:rsid w:val="008E54F4"/>
    <w:rsid w:val="008F0D58"/>
    <w:rsid w:val="008F3D21"/>
    <w:rsid w:val="008F46FA"/>
    <w:rsid w:val="008F7CB6"/>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536D"/>
    <w:rsid w:val="00956DE4"/>
    <w:rsid w:val="00963E39"/>
    <w:rsid w:val="009649DC"/>
    <w:rsid w:val="009722EC"/>
    <w:rsid w:val="00974280"/>
    <w:rsid w:val="00981747"/>
    <w:rsid w:val="00981789"/>
    <w:rsid w:val="00981D83"/>
    <w:rsid w:val="00983E4F"/>
    <w:rsid w:val="00987318"/>
    <w:rsid w:val="009937FA"/>
    <w:rsid w:val="009942E0"/>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0BF5"/>
    <w:rsid w:val="00A13E67"/>
    <w:rsid w:val="00A168E0"/>
    <w:rsid w:val="00A24A06"/>
    <w:rsid w:val="00A3196C"/>
    <w:rsid w:val="00A324F9"/>
    <w:rsid w:val="00A36606"/>
    <w:rsid w:val="00A411C5"/>
    <w:rsid w:val="00A42F90"/>
    <w:rsid w:val="00A445AB"/>
    <w:rsid w:val="00A45AC6"/>
    <w:rsid w:val="00A46744"/>
    <w:rsid w:val="00A46766"/>
    <w:rsid w:val="00A47832"/>
    <w:rsid w:val="00A50A25"/>
    <w:rsid w:val="00A56D1E"/>
    <w:rsid w:val="00A607EE"/>
    <w:rsid w:val="00A631D7"/>
    <w:rsid w:val="00A70290"/>
    <w:rsid w:val="00A716D7"/>
    <w:rsid w:val="00A71919"/>
    <w:rsid w:val="00A75D09"/>
    <w:rsid w:val="00A75E0B"/>
    <w:rsid w:val="00A76D83"/>
    <w:rsid w:val="00A85D1E"/>
    <w:rsid w:val="00A86817"/>
    <w:rsid w:val="00A868E6"/>
    <w:rsid w:val="00A87FCF"/>
    <w:rsid w:val="00A936CD"/>
    <w:rsid w:val="00A95D4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E3E75"/>
    <w:rsid w:val="00AF0969"/>
    <w:rsid w:val="00AF7DE6"/>
    <w:rsid w:val="00B0171D"/>
    <w:rsid w:val="00B01BFF"/>
    <w:rsid w:val="00B06FA8"/>
    <w:rsid w:val="00B11E55"/>
    <w:rsid w:val="00B17C12"/>
    <w:rsid w:val="00B24D54"/>
    <w:rsid w:val="00B30963"/>
    <w:rsid w:val="00B30A15"/>
    <w:rsid w:val="00B33914"/>
    <w:rsid w:val="00B352A1"/>
    <w:rsid w:val="00B36D02"/>
    <w:rsid w:val="00B37F63"/>
    <w:rsid w:val="00B42554"/>
    <w:rsid w:val="00B43627"/>
    <w:rsid w:val="00B43756"/>
    <w:rsid w:val="00B4648B"/>
    <w:rsid w:val="00B476B1"/>
    <w:rsid w:val="00B50A8A"/>
    <w:rsid w:val="00B510C5"/>
    <w:rsid w:val="00B516F8"/>
    <w:rsid w:val="00B51A0B"/>
    <w:rsid w:val="00B526D2"/>
    <w:rsid w:val="00B54DB4"/>
    <w:rsid w:val="00B55B42"/>
    <w:rsid w:val="00B63145"/>
    <w:rsid w:val="00B63AEA"/>
    <w:rsid w:val="00B63C3C"/>
    <w:rsid w:val="00B6505C"/>
    <w:rsid w:val="00B6574B"/>
    <w:rsid w:val="00B66FC1"/>
    <w:rsid w:val="00B71D1A"/>
    <w:rsid w:val="00B725A7"/>
    <w:rsid w:val="00B743A4"/>
    <w:rsid w:val="00B75C73"/>
    <w:rsid w:val="00B8206B"/>
    <w:rsid w:val="00B85A88"/>
    <w:rsid w:val="00B863CA"/>
    <w:rsid w:val="00B86BD8"/>
    <w:rsid w:val="00B91963"/>
    <w:rsid w:val="00B923B6"/>
    <w:rsid w:val="00B97F00"/>
    <w:rsid w:val="00BA0B74"/>
    <w:rsid w:val="00BA1095"/>
    <w:rsid w:val="00BA1551"/>
    <w:rsid w:val="00BA192B"/>
    <w:rsid w:val="00BB0CED"/>
    <w:rsid w:val="00BB2C0F"/>
    <w:rsid w:val="00BB5669"/>
    <w:rsid w:val="00BB687F"/>
    <w:rsid w:val="00BC46CE"/>
    <w:rsid w:val="00BC4DA6"/>
    <w:rsid w:val="00BC70AA"/>
    <w:rsid w:val="00BD0C54"/>
    <w:rsid w:val="00BD1C48"/>
    <w:rsid w:val="00BD2B67"/>
    <w:rsid w:val="00BD5E7C"/>
    <w:rsid w:val="00BD6640"/>
    <w:rsid w:val="00BD7D38"/>
    <w:rsid w:val="00BE1578"/>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393C"/>
    <w:rsid w:val="00C66B6B"/>
    <w:rsid w:val="00C71277"/>
    <w:rsid w:val="00C80038"/>
    <w:rsid w:val="00C81148"/>
    <w:rsid w:val="00C8115C"/>
    <w:rsid w:val="00C82AB7"/>
    <w:rsid w:val="00C84C6B"/>
    <w:rsid w:val="00C91310"/>
    <w:rsid w:val="00C915EC"/>
    <w:rsid w:val="00C934B3"/>
    <w:rsid w:val="00C95B92"/>
    <w:rsid w:val="00C97C11"/>
    <w:rsid w:val="00CA1642"/>
    <w:rsid w:val="00CA4FAF"/>
    <w:rsid w:val="00CA6439"/>
    <w:rsid w:val="00CB4E36"/>
    <w:rsid w:val="00CC7367"/>
    <w:rsid w:val="00CD5558"/>
    <w:rsid w:val="00CD6632"/>
    <w:rsid w:val="00CD69CF"/>
    <w:rsid w:val="00CD762E"/>
    <w:rsid w:val="00CF3500"/>
    <w:rsid w:val="00CF51E1"/>
    <w:rsid w:val="00D04D29"/>
    <w:rsid w:val="00D053F8"/>
    <w:rsid w:val="00D10425"/>
    <w:rsid w:val="00D14D89"/>
    <w:rsid w:val="00D155D6"/>
    <w:rsid w:val="00D20AA2"/>
    <w:rsid w:val="00D20C05"/>
    <w:rsid w:val="00D21460"/>
    <w:rsid w:val="00D2521A"/>
    <w:rsid w:val="00D26446"/>
    <w:rsid w:val="00D31BD1"/>
    <w:rsid w:val="00D33FE4"/>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47C6"/>
    <w:rsid w:val="00D66BBA"/>
    <w:rsid w:val="00D679FD"/>
    <w:rsid w:val="00D67FD3"/>
    <w:rsid w:val="00D7659A"/>
    <w:rsid w:val="00D85E7A"/>
    <w:rsid w:val="00D92F0D"/>
    <w:rsid w:val="00D9526E"/>
    <w:rsid w:val="00DA2640"/>
    <w:rsid w:val="00DA38B4"/>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502A"/>
    <w:rsid w:val="00E173AD"/>
    <w:rsid w:val="00E201DD"/>
    <w:rsid w:val="00E214F2"/>
    <w:rsid w:val="00E21B75"/>
    <w:rsid w:val="00E21C43"/>
    <w:rsid w:val="00E236CD"/>
    <w:rsid w:val="00E246BF"/>
    <w:rsid w:val="00E267CE"/>
    <w:rsid w:val="00E27896"/>
    <w:rsid w:val="00E31A9C"/>
    <w:rsid w:val="00E407B4"/>
    <w:rsid w:val="00E4124F"/>
    <w:rsid w:val="00E4285E"/>
    <w:rsid w:val="00E429CF"/>
    <w:rsid w:val="00E44069"/>
    <w:rsid w:val="00E440A5"/>
    <w:rsid w:val="00E457FD"/>
    <w:rsid w:val="00E46436"/>
    <w:rsid w:val="00E4694A"/>
    <w:rsid w:val="00E47BE0"/>
    <w:rsid w:val="00E52DE9"/>
    <w:rsid w:val="00E5383F"/>
    <w:rsid w:val="00E5617C"/>
    <w:rsid w:val="00E5744E"/>
    <w:rsid w:val="00E579AE"/>
    <w:rsid w:val="00E60A87"/>
    <w:rsid w:val="00E66193"/>
    <w:rsid w:val="00E6799E"/>
    <w:rsid w:val="00E679A0"/>
    <w:rsid w:val="00E71622"/>
    <w:rsid w:val="00E73A9C"/>
    <w:rsid w:val="00E74BA7"/>
    <w:rsid w:val="00E772C5"/>
    <w:rsid w:val="00E8330E"/>
    <w:rsid w:val="00E8384B"/>
    <w:rsid w:val="00E87C37"/>
    <w:rsid w:val="00E9192E"/>
    <w:rsid w:val="00E91C02"/>
    <w:rsid w:val="00E95F88"/>
    <w:rsid w:val="00EA15A7"/>
    <w:rsid w:val="00EA2578"/>
    <w:rsid w:val="00EA6DCA"/>
    <w:rsid w:val="00EB261F"/>
    <w:rsid w:val="00EB2951"/>
    <w:rsid w:val="00EB2A9F"/>
    <w:rsid w:val="00EB3D60"/>
    <w:rsid w:val="00EB68B6"/>
    <w:rsid w:val="00EB6968"/>
    <w:rsid w:val="00EC0D5C"/>
    <w:rsid w:val="00EC22D3"/>
    <w:rsid w:val="00ED4EF9"/>
    <w:rsid w:val="00ED5427"/>
    <w:rsid w:val="00EE068B"/>
    <w:rsid w:val="00EE10DA"/>
    <w:rsid w:val="00EE2ED1"/>
    <w:rsid w:val="00EE3A1B"/>
    <w:rsid w:val="00EE483D"/>
    <w:rsid w:val="00EE4D5C"/>
    <w:rsid w:val="00EE4F89"/>
    <w:rsid w:val="00EE4FF5"/>
    <w:rsid w:val="00EF1751"/>
    <w:rsid w:val="00EF1C7D"/>
    <w:rsid w:val="00EF7369"/>
    <w:rsid w:val="00F13D96"/>
    <w:rsid w:val="00F14A16"/>
    <w:rsid w:val="00F16B45"/>
    <w:rsid w:val="00F21451"/>
    <w:rsid w:val="00F268D2"/>
    <w:rsid w:val="00F30455"/>
    <w:rsid w:val="00F35F65"/>
    <w:rsid w:val="00F36B13"/>
    <w:rsid w:val="00F36D5F"/>
    <w:rsid w:val="00F40AAC"/>
    <w:rsid w:val="00F41603"/>
    <w:rsid w:val="00F4197A"/>
    <w:rsid w:val="00F42812"/>
    <w:rsid w:val="00F43A35"/>
    <w:rsid w:val="00F44788"/>
    <w:rsid w:val="00F4518F"/>
    <w:rsid w:val="00F53EC3"/>
    <w:rsid w:val="00F54536"/>
    <w:rsid w:val="00F56BD7"/>
    <w:rsid w:val="00F57B0B"/>
    <w:rsid w:val="00F605FF"/>
    <w:rsid w:val="00F66CC9"/>
    <w:rsid w:val="00F67639"/>
    <w:rsid w:val="00F71984"/>
    <w:rsid w:val="00F74FF9"/>
    <w:rsid w:val="00F808F6"/>
    <w:rsid w:val="00F8351C"/>
    <w:rsid w:val="00F83EE6"/>
    <w:rsid w:val="00F859AD"/>
    <w:rsid w:val="00F86146"/>
    <w:rsid w:val="00F865DD"/>
    <w:rsid w:val="00F86BAA"/>
    <w:rsid w:val="00F925D8"/>
    <w:rsid w:val="00F93F04"/>
    <w:rsid w:val="00F94EC2"/>
    <w:rsid w:val="00F9653E"/>
    <w:rsid w:val="00FA1231"/>
    <w:rsid w:val="00FA126E"/>
    <w:rsid w:val="00FA1961"/>
    <w:rsid w:val="00FA2746"/>
    <w:rsid w:val="00FA6C49"/>
    <w:rsid w:val="00FB3912"/>
    <w:rsid w:val="00FB6013"/>
    <w:rsid w:val="00FB6DA0"/>
    <w:rsid w:val="00FC16CA"/>
    <w:rsid w:val="00FC1DB1"/>
    <w:rsid w:val="00FC2CB4"/>
    <w:rsid w:val="00FD0553"/>
    <w:rsid w:val="00FD7BC9"/>
    <w:rsid w:val="00FD7BFE"/>
    <w:rsid w:val="00FE1639"/>
    <w:rsid w:val="00FE6D22"/>
    <w:rsid w:val="00FF2DD5"/>
    <w:rsid w:val="00FF4169"/>
    <w:rsid w:val="00FF5E08"/>
    <w:rsid w:val="00FF6FA7"/>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Sinespaciado">
    <w:name w:val="No Spacing"/>
    <w:uiPriority w:val="1"/>
    <w:qFormat/>
    <w:rsid w:val="00387D11"/>
    <w:pPr>
      <w:spacing w:after="0" w:line="240" w:lineRule="auto"/>
    </w:pPr>
    <w:rPr>
      <w:rFonts w:ascii="Calibri" w:eastAsia="Calibri" w:hAnsi="Calibri" w:cs="Times New Roman"/>
      <w:lang w:eastAsia="en-US"/>
    </w:rPr>
  </w:style>
  <w:style w:type="paragraph" w:styleId="Textoindependiente2">
    <w:name w:val="Body Text 2"/>
    <w:basedOn w:val="Normal"/>
    <w:link w:val="Textoindependiente2Car"/>
    <w:rsid w:val="000E35C3"/>
    <w:pPr>
      <w:spacing w:after="120" w:line="48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Textoindependiente2Car">
    <w:name w:val="Texto independiente 2 Car"/>
    <w:basedOn w:val="Fuentedeprrafopredeter"/>
    <w:link w:val="Textoindependiente2"/>
    <w:rsid w:val="000E35C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7549-C3B5-4B39-9593-2E7DBEBB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1814</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3</cp:revision>
  <cp:lastPrinted>2019-09-17T17:33:00Z</cp:lastPrinted>
  <dcterms:created xsi:type="dcterms:W3CDTF">2019-11-26T21:47:00Z</dcterms:created>
  <dcterms:modified xsi:type="dcterms:W3CDTF">2019-11-26T21:57:00Z</dcterms:modified>
</cp:coreProperties>
</file>